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490FA462" w:rsidR="004968F3" w:rsidRPr="00054C35" w:rsidRDefault="00805B20"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2021513490106806E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183F60B7" w:rsidR="004968F3" w:rsidRPr="00054C35" w:rsidRDefault="00805B20"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135.3</w:t>
            </w:r>
            <w:r w:rsidR="00433D0E">
              <w:rPr>
                <w:rFonts w:ascii="Courier New" w:hAnsi="Courier New" w:cs="Courier New"/>
                <w:bCs/>
                <w:lang w:val="es" w:eastAsia="es-CO"/>
              </w:rPr>
              <w:t>.A) Urbanismo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20765BEE" w:rsidR="004968F3" w:rsidRPr="00054C35" w:rsidRDefault="00BF5B95"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148 # 12 C – 63</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505A29A0" w:rsidR="004968F3" w:rsidRPr="00054C35" w:rsidRDefault="00BF5B95"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03:00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2527D9BC"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BF5B95">
              <w:rPr>
                <w:rFonts w:ascii="Courier New" w:hAnsi="Courier New" w:cs="Courier New"/>
                <w:bCs/>
                <w:lang w:val="es" w:eastAsia="es-CO"/>
              </w:rPr>
              <w:t>20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AE81FA2"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433D0E">
        <w:rPr>
          <w:rFonts w:ascii="Courier New" w:hAnsi="Courier New" w:cs="Courier New"/>
          <w:lang w:eastAsia="es-CO"/>
        </w:rPr>
        <w:t>rtículo 135</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652FDF51" w14:textId="5598A26E" w:rsidR="002E7402" w:rsidRDefault="00567751" w:rsidP="00BF5B9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BF5B95">
        <w:rPr>
          <w:rFonts w:ascii="Courier New" w:hAnsi="Courier New" w:cs="Courier New"/>
          <w:lang w:eastAsia="es-CO"/>
        </w:rPr>
        <w:t>registro de petición 1617942021, se presenta queja por parte de un ciudadano en la cual enuncia que se necesita con carácter urgente la corrección de la dirección donde se presenta el problema de la querella Calle 148 N° 12 C – 63 Cedritos remitida a la Alcaldía de Usaquén con el número 2014601533002, de igual manera se requiere la intervención de las autoridades competentes con el fin de que paren y obliguen a demoler una construcción que está afectando a la comunidad, contaminando la vista y el bienestar de todos.</w:t>
      </w:r>
    </w:p>
    <w:p w14:paraId="5B9C2A67" w14:textId="2EEF3B83" w:rsidR="00BF5B95" w:rsidRDefault="00BF5B95" w:rsidP="00BF5B9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Este Despacho por medio de auto de policía de 22 de Abril de 2022, procede a avocar conocimiento conforme lo dispone el artículo 223 por presuntos comportamientos contra la integridad urbanística previstos en el artículo 135 numeral 3 de la ley 1801 de 2016.</w:t>
      </w:r>
    </w:p>
    <w:p w14:paraId="2ACAE137" w14:textId="0CDFCCF2" w:rsidR="00BF5B95" w:rsidRDefault="00BF5B95" w:rsidP="00BF5B9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profesional de la Alcaldía de Usaquén realiza informe técnico de fecha 11 de Mayo de 2023 al predio ubicado en la calle 148 N° 12 C – 70 de la ciudad de Bogotá, en donde deja claro que no existe nomenclatura terminada en 63, por tanto presuntamente la queja hace referencia al mismo expediente 2021513490106375E.</w:t>
      </w:r>
    </w:p>
    <w:p w14:paraId="661BBE8A" w14:textId="77777777" w:rsidR="002E7402" w:rsidRPr="002E7402" w:rsidRDefault="002E7402" w:rsidP="002E7402">
      <w:pPr>
        <w:suppressAutoHyphens w:val="0"/>
        <w:autoSpaceDE w:val="0"/>
        <w:adjustRightInd w:val="0"/>
        <w:ind w:left="360"/>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47F2BE0B" w:rsidR="00567751" w:rsidRDefault="00CA3AD4"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w:t>
      </w:r>
      <w:r w:rsidR="002E7402">
        <w:rPr>
          <w:rFonts w:ascii="Courier New" w:hAnsi="Courier New" w:cs="Courier New"/>
          <w:lang w:eastAsia="es-CO"/>
        </w:rPr>
        <w:t xml:space="preserve"> como prueba el informe técnico elaborado por el profesional adscrito a este Despacho de fecha 23 de Octubre de 2023.</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w:t>
      </w:r>
      <w:r w:rsidRPr="00054C35">
        <w:rPr>
          <w:rFonts w:ascii="Courier New" w:hAnsi="Courier New" w:cs="Courier New"/>
          <w:lang w:eastAsia="es-ES"/>
        </w:rPr>
        <w:lastRenderedPageBreak/>
        <w:t xml:space="preserve">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6DF4A262" w14:textId="230A5AE8" w:rsidR="00CA3AD4" w:rsidRPr="00CA3AD4" w:rsidRDefault="004968F3" w:rsidP="00CA3AD4">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CA3AD4">
        <w:rPr>
          <w:rFonts w:ascii="Courier New" w:hAnsi="Courier New" w:cs="Courier New"/>
          <w:lang w:eastAsia="es-ES"/>
        </w:rPr>
        <w:t xml:space="preserve"> </w:t>
      </w:r>
      <w:r w:rsidR="00CA3AD4" w:rsidRPr="00CA3AD4">
        <w:rPr>
          <w:rFonts w:ascii="Courier New" w:hAnsi="Courier New" w:cs="Courier New"/>
          <w:b/>
          <w:bCs/>
          <w:lang w:val="es-CO" w:eastAsia="es-ES"/>
        </w:rPr>
        <w:t>A</w:t>
      </w:r>
      <w:r w:rsidR="00CA3AD4" w:rsidRPr="00CA3AD4">
        <w:rPr>
          <w:rFonts w:ascii="Courier New" w:hAnsi="Courier New" w:cs="Courier New"/>
          <w:b/>
          <w:bCs/>
          <w:lang w:eastAsia="es-ES"/>
        </w:rPr>
        <w:t>rtículo 135. </w:t>
      </w:r>
      <w:hyperlink r:id="rId11" w:anchor="10" w:history="1">
        <w:r w:rsidR="00CA3AD4" w:rsidRPr="00CA3AD4">
          <w:rPr>
            <w:rStyle w:val="Hipervnculo"/>
            <w:rFonts w:ascii="Courier New" w:hAnsi="Courier New" w:cs="Courier New"/>
            <w:lang w:val="es-CO" w:eastAsia="es-ES"/>
          </w:rPr>
          <w:t>Corregido por el art. 10, Decreto Nacional 555 de 2017.</w:t>
        </w:r>
      </w:hyperlink>
      <w:r w:rsidR="00CA3AD4" w:rsidRPr="00CA3AD4">
        <w:rPr>
          <w:rFonts w:ascii="Courier New" w:hAnsi="Courier New" w:cs="Courier New"/>
          <w:lang w:val="es-CO" w:eastAsia="es-ES"/>
        </w:rPr>
        <w:t> &lt;</w:t>
      </w:r>
      <w:r w:rsidR="00CA3AD4" w:rsidRPr="00CA3AD4">
        <w:rPr>
          <w:rFonts w:ascii="Courier New" w:hAnsi="Courier New" w:cs="Courier New"/>
          <w:i/>
          <w:iCs/>
          <w:lang w:val="es-CO" w:eastAsia="es-ES"/>
        </w:rPr>
        <w:t>El nuevo texto es el siguiente&gt;  </w:t>
      </w:r>
      <w:r w:rsidR="00CA3AD4" w:rsidRPr="00CA3AD4">
        <w:rPr>
          <w:rFonts w:ascii="Courier New" w:hAnsi="Courier New" w:cs="Courier New"/>
          <w:b/>
          <w:bCs/>
          <w:lang w:eastAsia="es-ES"/>
        </w:rPr>
        <w:t>Comportamientos contrarios a la integridad urbanística.</w:t>
      </w:r>
      <w:r w:rsidR="00CA3AD4" w:rsidRPr="00CA3AD4">
        <w:rPr>
          <w:rFonts w:ascii="Courier New" w:hAnsi="Courier New" w:cs="Courier New"/>
          <w:lang w:val="es-CO" w:eastAsia="es-ES"/>
        </w:rPr>
        <w: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 </w:t>
      </w:r>
    </w:p>
    <w:p w14:paraId="5D068DB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p w14:paraId="5F76EED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A) Parcelar, urbanizar, demoler, intervenir o construir:</w:t>
      </w:r>
    </w:p>
    <w:p w14:paraId="70B637C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p w14:paraId="1987911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 En áreas protegidas o afectadas por el plan vial o de infraestructura de servicios públicos domiciliarios, y las destinadas a equipamientos públicos.</w:t>
      </w:r>
    </w:p>
    <w:p w14:paraId="00D4C15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D0A1F1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 Con desconocimiento a lo preceptuado en la licencia.</w:t>
      </w:r>
    </w:p>
    <w:p w14:paraId="0857923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290494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3. En bienes de uso público y terrenos afectados al espacio público.</w:t>
      </w:r>
    </w:p>
    <w:p w14:paraId="1457FCB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E86BCB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4. En terrenos aptos para estas actuaciones, sin licencia o cuando esta hubiere caducado.</w:t>
      </w:r>
    </w:p>
    <w:p w14:paraId="62038AB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CED18B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B) Actuaciones en los inmuebles declarados de conservación e interés cultural, histórico, urbanístico, paisajístico y arquitectónico:</w:t>
      </w:r>
    </w:p>
    <w:p w14:paraId="6EDB2CC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952B75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5. Demoler sin previa autorización o licencia.</w:t>
      </w:r>
    </w:p>
    <w:p w14:paraId="25519DF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4724E5A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6. Intervenir o modificar sin la licencia.</w:t>
      </w:r>
    </w:p>
    <w:p w14:paraId="6D8A9C2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996046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7. Incumplir las obligaciones para su adecuada conservación.</w:t>
      </w:r>
    </w:p>
    <w:p w14:paraId="0B34852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8E585A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8. Realizar acciones que puedan generar impactos negativos en el bien de interés cultural, tales como intervenciones estructurales, arquitectónicas, adecuaciones funcionales, intervenciones en las zonas de influencia y/o en los contextos del inmueble que puedan afectar las características y los valores culturales por los cuales los inmuebles se declararon como bien de interés cultural.</w:t>
      </w:r>
    </w:p>
    <w:p w14:paraId="184653D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5D0BC4E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C) Usar o destinar un inmueble a:</w:t>
      </w:r>
    </w:p>
    <w:p w14:paraId="278DFC0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D0998A5"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9. Uso diferente al señalado en la licencia de construcción.</w:t>
      </w:r>
    </w:p>
    <w:p w14:paraId="4431A31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F4AAF8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10. Ubicación diferente a la señalada en la licencia de construcción.</w:t>
      </w:r>
    </w:p>
    <w:p w14:paraId="2F3D9A4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954586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11. Contravenir los usos específicos del suelo.</w:t>
      </w:r>
    </w:p>
    <w:p w14:paraId="63D0539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4A2492F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lastRenderedPageBreak/>
        <w:t>12. Facilitar, en cualquier clase de inmueble, el desarrollo de usos o destinaciones del suelo no autorizados en licencia de construcción o con desconocimiento de las normas urbanísticas sobre usos específicos.</w:t>
      </w:r>
    </w:p>
    <w:p w14:paraId="7826DAE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5A8D39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D) Incumplir cualquiera de las siguientes obligaciones:</w:t>
      </w:r>
    </w:p>
    <w:p w14:paraId="38C9410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BD1BF0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13. Destinar un lugar al interior de la construcción para guardar materiales, maquinaria, escombros o residuos y no ocupar con ellos, ni siquiera de manera temporal, el andén, las vías o espacios públicos circundantes.</w:t>
      </w:r>
    </w:p>
    <w:p w14:paraId="589B576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5A75B42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14. Proveer de unidades sanitarias provisionales para el personal que labora y visita la obra y adoptar las medidas requeridas para mantenerlas aseadas, salvo que exista una solución viable, cómoda e higiénica en el área.</w:t>
      </w:r>
    </w:p>
    <w:p w14:paraId="708E42C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CA4554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15. Instalar protecciones o elementos especiales en los frentes y costados de la obra y señalización, semáforos o luces nocturnas para la seguridad de quienes se movilizan por el lugar y evitar accidentes o incomodidades.</w:t>
      </w:r>
    </w:p>
    <w:p w14:paraId="6768A39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457C78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16. Limpiar las llantas de los vehículos que salen de la obra para evitar que se arroje barro o cemento en el espacio público.</w:t>
      </w:r>
    </w:p>
    <w:p w14:paraId="268EFF7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56EBDF4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17. Limpiar el material, cemento y los residuos de la obra, de manera inmediata, cuando caigan en el espacio público.</w:t>
      </w:r>
    </w:p>
    <w:p w14:paraId="31E2BA6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p w14:paraId="6216FAE8" w14:textId="77777777" w:rsidR="00CA3AD4" w:rsidRPr="00CA3AD4" w:rsidRDefault="00BF5B95" w:rsidP="00CA3AD4">
      <w:pPr>
        <w:jc w:val="both"/>
        <w:rPr>
          <w:rFonts w:ascii="Courier New" w:hAnsi="Courier New" w:cs="Courier New"/>
          <w:lang w:val="es-CO" w:eastAsia="es-ES"/>
        </w:rPr>
      </w:pPr>
      <w:hyperlink r:id="rId12" w:anchor="1" w:history="1">
        <w:r w:rsidR="00CA3AD4" w:rsidRPr="00CA3AD4">
          <w:rPr>
            <w:rStyle w:val="Hipervnculo"/>
            <w:rFonts w:ascii="Courier New" w:hAnsi="Courier New" w:cs="Courier New"/>
            <w:lang w:val="es-CO" w:eastAsia="es-ES"/>
          </w:rPr>
          <w:t>Ver art. 1, Decreto Distrital 402 de 2025.</w:t>
        </w:r>
      </w:hyperlink>
    </w:p>
    <w:p w14:paraId="26A4742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E095FF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18. Retirar los andamios, barreras, escombros y residuos de cualquier clase una vez terminada la obra, cuando esta se suspenda por más de dos (2) meses, o cuando sea necesario por seguridad de la misma.</w:t>
      </w:r>
    </w:p>
    <w:p w14:paraId="18B2CE5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EA18F2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19. Exigir a quienes trabajan y visitan la obra, el uso de cascos e implementos de seguridad industrial y contar con el equipo necesario para prevenir y controlar incendios o atender emergencias de acuerdo con esta ley.</w:t>
      </w:r>
    </w:p>
    <w:p w14:paraId="36FDBEE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F92A2A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20. Tomar las medidas necesarias para evitar la emisión de partículas en suspensión, provenientes de materiales de construcción, demolición o desecho, de conformidad con las leyes vigentes.</w:t>
      </w:r>
    </w:p>
    <w:p w14:paraId="7776B39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FD56AC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21. Aislar completamente las obras de construcción que se desarrollen aledañas a canales o fuentes de agua, para evitar la contaminación del agua con materiales e implementar las acciones de prevención y mitigación que disponga la autoridad ambiental respectiva.</w:t>
      </w:r>
    </w:p>
    <w:p w14:paraId="596EE92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EF35D3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22. Reparar los daños o averías que en razón de la obra se realicen en el andén, las vías, espacios y redes de servicios públicos.</w:t>
      </w:r>
    </w:p>
    <w:p w14:paraId="294C4EA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F72AC5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23. Reparar los daños, averías o perjuicios causados a bienes colindantes o cercanos.</w:t>
      </w:r>
    </w:p>
    <w:p w14:paraId="1D4B7F7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465F90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24. Demoler, construir o reparar obras en el horario comprendido entre las 6 de la tarde y las 8 de la mañana, como también los días festivos, en zonas residenciales.</w:t>
      </w:r>
    </w:p>
    <w:p w14:paraId="070F8AF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A52DE4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1°.</w:t>
      </w:r>
      <w:r w:rsidRPr="00CA3AD4">
        <w:rPr>
          <w:rFonts w:ascii="Courier New" w:hAnsi="Courier New" w:cs="Courier New"/>
          <w:lang w:val="es-CO" w:eastAsia="es-ES"/>
        </w:rPr>
        <w:t>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w:t>
      </w:r>
    </w:p>
    <w:p w14:paraId="58270F2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D7C593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2°. </w:t>
      </w:r>
      <w:r w:rsidRPr="00CA3AD4">
        <w:rPr>
          <w:rFonts w:ascii="Courier New" w:hAnsi="Courier New" w:cs="Courier New"/>
          <w:lang w:val="es-CO" w:eastAsia="es-ES"/>
        </w:rPr>
        <w:t xml:space="preserve">Cuando se realice actuación urbanística sin previa licencia en predios aptos para estos menesteres, sin perjuicio de la medida de multa y de la suspensión temporal de la obra, se concederá un término de sesenta (60) días para que el infractor solicite el reconocimiento de la construcción ante la autoridad competente del distrito o municipio; si pasado este término no presenta </w:t>
      </w:r>
      <w:r w:rsidRPr="00CA3AD4">
        <w:rPr>
          <w:rFonts w:ascii="Courier New" w:hAnsi="Courier New" w:cs="Courier New"/>
          <w:lang w:val="es-CO" w:eastAsia="es-ES"/>
        </w:rPr>
        <w:lastRenderedPageBreak/>
        <w:t>licencia de reconocimiento, no podrá reanudar la obra y se duplicará el valor de la multa impuesta.</w:t>
      </w:r>
    </w:p>
    <w:p w14:paraId="5676EF2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BC1FEF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3°. </w:t>
      </w:r>
      <w:r w:rsidRPr="00CA3AD4">
        <w:rPr>
          <w:rFonts w:ascii="Courier New" w:hAnsi="Courier New" w:cs="Courier New"/>
          <w:lang w:val="es-CO" w:eastAsia="es-ES"/>
        </w:rPr>
        <w:t>Las reparaciones locativas no requieren licencia o autorización; en el caso de bienes de interés cultural las reparaciones locativas no requieren licencia o autorización siempre y cuando estas correspondan a las enunciadas en el artículo </w:t>
      </w:r>
      <w:hyperlink r:id="rId13" w:anchor="26" w:history="1">
        <w:r w:rsidRPr="00CA3AD4">
          <w:rPr>
            <w:rStyle w:val="Hipervnculo"/>
            <w:rFonts w:ascii="Courier New" w:hAnsi="Courier New" w:cs="Courier New"/>
            <w:lang w:val="es-CO" w:eastAsia="es-ES"/>
          </w:rPr>
          <w:t>26</w:t>
        </w:r>
      </w:hyperlink>
      <w:r w:rsidRPr="00CA3AD4">
        <w:rPr>
          <w:rFonts w:ascii="Courier New" w:hAnsi="Courier New" w:cs="Courier New"/>
          <w:lang w:val="es-CO" w:eastAsia="es-ES"/>
        </w:rPr>
        <w:t> de la Resolución número 0983 de 2010 emanada por el Ministerio de Cultura o la norma que la modifique o sustituya.</w:t>
      </w:r>
    </w:p>
    <w:p w14:paraId="4C601CD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E3FDB7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4°.</w:t>
      </w:r>
      <w:r w:rsidRPr="00CA3AD4">
        <w:rPr>
          <w:rFonts w:ascii="Courier New" w:hAnsi="Courier New" w:cs="Courier New"/>
          <w:lang w:val="es-CO" w:eastAsia="es-ES"/>
        </w:rPr>
        <w:t> En el caso de demolición o intervención de los bienes de interés cultural, de uno colindante, uno ubicado en su área de influencia o un bien arqueológico, previo a la expedición de la licencia, se deberá solicitar la autorización de intervención de la autoridad competente.</w:t>
      </w:r>
    </w:p>
    <w:p w14:paraId="12D26EB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DEF500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5°. </w:t>
      </w:r>
      <w:r w:rsidRPr="00CA3AD4">
        <w:rPr>
          <w:rFonts w:ascii="Courier New" w:hAnsi="Courier New" w:cs="Courier New"/>
          <w:lang w:val="es-CO" w:eastAsia="es-ES"/>
        </w:rPr>
        <w:t>Cuando el infractor incumple la orden de demolición, mantenimiento o reconstrucción, una vez agotados todos los medios de ejecución posibles, la administración realizará la actuación urbanística omitida a costa del infractor.</w:t>
      </w:r>
    </w:p>
    <w:p w14:paraId="50DF0B8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7CAA0E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6°.</w:t>
      </w:r>
      <w:r w:rsidRPr="00CA3AD4">
        <w:rPr>
          <w:rFonts w:ascii="Courier New" w:hAnsi="Courier New" w:cs="Courier New"/>
          <w:lang w:val="es-CO" w:eastAsia="es-ES"/>
        </w:rPr>
        <w:t> Para los casos que se generen con base en los numerales 5 al 8, la autoridad de policía deberá tomar las medidas correctivas necesarias para hacer cesar la afectación al bien de Interés Cultural y remitir el caso a la autoridad cultural que lo declaró como tal, para que esta tome y ejecute las medidas correctivas pertinentes de acuerdo al procedimiento y medidas establecidas en la Ley </w:t>
      </w:r>
      <w:hyperlink r:id="rId14" w:history="1">
        <w:r w:rsidRPr="00CA3AD4">
          <w:rPr>
            <w:rStyle w:val="Hipervnculo"/>
            <w:rFonts w:ascii="Courier New" w:hAnsi="Courier New" w:cs="Courier New"/>
            <w:lang w:val="es-CO" w:eastAsia="es-ES"/>
          </w:rPr>
          <w:t>397</w:t>
        </w:r>
      </w:hyperlink>
      <w:r w:rsidRPr="00CA3AD4">
        <w:rPr>
          <w:rFonts w:ascii="Courier New" w:hAnsi="Courier New" w:cs="Courier New"/>
          <w:lang w:val="es-CO" w:eastAsia="es-ES"/>
        </w:rPr>
        <w:t> de 1997 modificada por la Ley </w:t>
      </w:r>
      <w:hyperlink r:id="rId15" w:history="1">
        <w:r w:rsidRPr="00CA3AD4">
          <w:rPr>
            <w:rStyle w:val="Hipervnculo"/>
            <w:rFonts w:ascii="Courier New" w:hAnsi="Courier New" w:cs="Courier New"/>
            <w:lang w:val="es-CO" w:eastAsia="es-ES"/>
          </w:rPr>
          <w:t>1185</w:t>
        </w:r>
      </w:hyperlink>
      <w:r w:rsidRPr="00CA3AD4">
        <w:rPr>
          <w:rFonts w:ascii="Courier New" w:hAnsi="Courier New" w:cs="Courier New"/>
          <w:lang w:val="es-CO" w:eastAsia="es-ES"/>
        </w:rPr>
        <w:t> de 2008. La medida correctiva aplicada por la autoridad de policía se mantendrá hasta tanto la autoridad cultural competente resuelva de fondo el asunto.</w:t>
      </w:r>
    </w:p>
    <w:p w14:paraId="538B636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570798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7°. </w:t>
      </w:r>
      <w:r w:rsidRPr="00CA3AD4">
        <w:rPr>
          <w:rFonts w:ascii="Courier New" w:hAnsi="Courier New" w:cs="Courier New"/>
          <w:lang w:val="es-CO" w:eastAsia="es-ES"/>
        </w:rPr>
        <w:t>Quien incurra en uno o más de los comportamientos antes señalados, será objeto de la aplicación de las siguientes medidas correctivas:</w:t>
      </w:r>
    </w:p>
    <w:p w14:paraId="66F3CC9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tbl>
      <w:tblPr>
        <w:tblW w:w="9488" w:type="dxa"/>
        <w:jc w:val="center"/>
        <w:tblCellMar>
          <w:left w:w="0" w:type="dxa"/>
          <w:right w:w="0" w:type="dxa"/>
        </w:tblCellMar>
        <w:tblLook w:val="04A0" w:firstRow="1" w:lastRow="0" w:firstColumn="1" w:lastColumn="0" w:noHBand="0" w:noVBand="1"/>
      </w:tblPr>
      <w:tblGrid>
        <w:gridCol w:w="2192"/>
        <w:gridCol w:w="7296"/>
      </w:tblGrid>
      <w:tr w:rsidR="00CA3AD4" w:rsidRPr="00CA3AD4" w14:paraId="71AD3C00" w14:textId="77777777" w:rsidTr="00CA3AD4">
        <w:trPr>
          <w:trHeight w:val="222"/>
          <w:jc w:val="center"/>
        </w:trPr>
        <w:tc>
          <w:tcPr>
            <w:tcW w:w="2192" w:type="dxa"/>
            <w:tcBorders>
              <w:top w:val="single" w:sz="8" w:space="0" w:color="181717"/>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31FDC4A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COMPORTAMIENTOS</w:t>
            </w:r>
          </w:p>
        </w:tc>
        <w:tc>
          <w:tcPr>
            <w:tcW w:w="7296" w:type="dxa"/>
            <w:tcBorders>
              <w:top w:val="single" w:sz="8" w:space="0" w:color="181717"/>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6F6E332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MEDIDA CORRECTIVA A APLICAR</w:t>
            </w:r>
          </w:p>
        </w:tc>
      </w:tr>
      <w:tr w:rsidR="00CA3AD4" w:rsidRPr="00CA3AD4" w14:paraId="69F4BA82" w14:textId="77777777" w:rsidTr="00CA3AD4">
        <w:trPr>
          <w:trHeight w:val="426"/>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1DE3CE4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476E350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445E59E5" w14:textId="77777777" w:rsidTr="00CA3AD4">
        <w:trPr>
          <w:trHeight w:val="335"/>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6CA4082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6BDACFA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1C2D4A6F" w14:textId="77777777" w:rsidTr="00CA3AD4">
        <w:trPr>
          <w:trHeight w:val="101"/>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72AB80A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3</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3872838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4F621411" w14:textId="77777777" w:rsidTr="00CA3AD4">
        <w:trPr>
          <w:trHeight w:val="151"/>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108D3D2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4</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156E9BF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73C5B825"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0A8B90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5</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63CE134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actividad.</w:t>
            </w:r>
          </w:p>
        </w:tc>
      </w:tr>
      <w:tr w:rsidR="00CA3AD4" w:rsidRPr="00CA3AD4" w14:paraId="6110B924"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33661B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6</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84EC60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actividad.</w:t>
            </w:r>
          </w:p>
        </w:tc>
      </w:tr>
      <w:tr w:rsidR="00CA3AD4" w:rsidRPr="00CA3AD4" w14:paraId="51B868FE"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99B717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7</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3B5BF45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actividad.</w:t>
            </w:r>
          </w:p>
        </w:tc>
      </w:tr>
      <w:tr w:rsidR="00CA3AD4" w:rsidRPr="00CA3AD4" w14:paraId="1AF239A7"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AA0C08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8</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405BB6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la actividad.</w:t>
            </w:r>
          </w:p>
        </w:tc>
      </w:tr>
      <w:tr w:rsidR="00CA3AD4" w:rsidRPr="00CA3AD4" w14:paraId="7E9CBDC7"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99A852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9</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7F3CA1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definitiva de la actividad.</w:t>
            </w:r>
          </w:p>
        </w:tc>
      </w:tr>
      <w:tr w:rsidR="00CA3AD4" w:rsidRPr="00CA3AD4" w14:paraId="50909C7E"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E296AE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10</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5F8458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definitiva de la actividad.</w:t>
            </w:r>
          </w:p>
        </w:tc>
      </w:tr>
      <w:tr w:rsidR="00CA3AD4" w:rsidRPr="00CA3AD4" w14:paraId="194D4DC7"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6D0743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11</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606ADF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definitiva de la actividad.</w:t>
            </w:r>
          </w:p>
        </w:tc>
      </w:tr>
      <w:tr w:rsidR="00CA3AD4" w:rsidRPr="00CA3AD4" w14:paraId="153515A3" w14:textId="77777777" w:rsidTr="00CA3AD4">
        <w:trPr>
          <w:trHeight w:val="32"/>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45AD8BB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12</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DD666D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w:t>
            </w:r>
          </w:p>
        </w:tc>
      </w:tr>
      <w:tr w:rsidR="00CA3AD4" w:rsidRPr="00CA3AD4" w14:paraId="64143432"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308BD08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lastRenderedPageBreak/>
              <w:t>Numeral 13</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ECB9B5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75A86B61"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623544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14</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44651A2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4DC44BC3"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92C710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15</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8FA1A0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492B5E99"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E9B68E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16</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B1469C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013B6017"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FD8E2D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17</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E83CC2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12A043A6"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DE2121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18</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44DDF8D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 Remoción de bienes.</w:t>
            </w:r>
          </w:p>
        </w:tc>
      </w:tr>
      <w:tr w:rsidR="00CA3AD4" w:rsidRPr="00CA3AD4" w14:paraId="29C892E1"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94FEE3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19</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A73066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19599FC0"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EB77AE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20</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FF306D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5805B9D0"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E524D1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21</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66411A5"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1F051CA7" w14:textId="77777777" w:rsidTr="00CA3AD4">
        <w:trPr>
          <w:trHeight w:val="23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6EB6365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22</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F501A1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 Reparación de daños materiales de muebles o inmuebles; Reparación de daños materiales por perturbación a la posesión y tenencia de inmuebles o muebles.</w:t>
            </w:r>
          </w:p>
        </w:tc>
      </w:tr>
      <w:tr w:rsidR="00CA3AD4" w:rsidRPr="00CA3AD4" w14:paraId="42638D6A" w14:textId="77777777" w:rsidTr="00CA3AD4">
        <w:trPr>
          <w:trHeight w:val="329"/>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228ECA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23</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70BFFD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 Reparación de daños materiales de muebles o inmuebles; Reparación de daños materiales por perturbación a la posesión y tenencia de inmuebles o muebles.</w:t>
            </w:r>
          </w:p>
        </w:tc>
      </w:tr>
      <w:tr w:rsidR="00CA3AD4" w:rsidRPr="00CA3AD4" w14:paraId="7322EE1E"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034E3F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24</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81A470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bl>
    <w:p w14:paraId="1E808CE3" w14:textId="5C0AA2A9" w:rsidR="005D4C3C" w:rsidRDefault="005D4C3C" w:rsidP="004968F3">
      <w:pPr>
        <w:jc w:val="both"/>
        <w:rPr>
          <w:rFonts w:ascii="Courier New" w:hAnsi="Courier New" w:cs="Courier New"/>
          <w:lang w:val="es-CO" w:eastAsia="es-ES"/>
        </w:rPr>
      </w:pPr>
    </w:p>
    <w:p w14:paraId="1F0F1A31" w14:textId="77777777" w:rsidR="00CA3AD4" w:rsidRDefault="00CA3AD4"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47504EC7" w14:textId="1E36D92A" w:rsidR="00880043" w:rsidRPr="00B1764D" w:rsidRDefault="00B1764D" w:rsidP="002E7402">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BF5B95">
        <w:rPr>
          <w:rFonts w:ascii="Courier New" w:hAnsi="Courier New" w:cs="Courier New"/>
          <w:lang w:eastAsia="es-CO"/>
        </w:rPr>
        <w:t>021513490106806E, este Inspector encuentra confuso la toma de decisión respecto al mismo pues se encuentran dos direcciones que son Calle 148 N° 12 C – 63 y Calle 148 N° 12 C – 70(tomada por el profesional del Despacho para realizar el informe), pero no puede perder de vista el Despacho que la queja fue radicada para la dirección Calle 148 N° 12 C – 63, según se encuentra en el registro de petición 1617942021</w:t>
      </w:r>
      <w:r w:rsidR="002E7402">
        <w:rPr>
          <w:rFonts w:ascii="Courier New" w:hAnsi="Courier New" w:cs="Courier New"/>
          <w:lang w:eastAsia="es-CO"/>
        </w:rPr>
        <w:t xml:space="preserve"> </w:t>
      </w:r>
      <w:r w:rsidR="00D05DF4">
        <w:rPr>
          <w:rFonts w:ascii="Courier New" w:hAnsi="Courier New" w:cs="Courier New"/>
          <w:lang w:eastAsia="es-CO"/>
        </w:rPr>
        <w:t>por tanto, al no tener plenamente identificado el predio objeto de queja</w:t>
      </w:r>
      <w:r w:rsidR="004B6716">
        <w:rPr>
          <w:rFonts w:ascii="Courier New" w:hAnsi="Courier New" w:cs="Courier New"/>
          <w:lang w:eastAsia="es-CO"/>
        </w:rPr>
        <w:t xml:space="preserve"> y encontrarse este Inspector inmerso en una disparidad en cuanto a la identificación del objeto</w:t>
      </w:r>
      <w:r w:rsidR="00D05DF4">
        <w:rPr>
          <w:rFonts w:ascii="Courier New" w:hAnsi="Courier New" w:cs="Courier New"/>
          <w:lang w:eastAsia="es-CO"/>
        </w:rPr>
        <w:t>, esta autoridad se abstendrá de continuar conociendo del expediente, y en consecuencia evitar la aplicación de las medidas correctivas a personas indeterminadas que puedan llevar a socavar los derechos e intereses de la comunidad.</w:t>
      </w:r>
    </w:p>
    <w:p w14:paraId="6995DDE5" w14:textId="112308CD"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1E1C7D94"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w:t>
      </w:r>
      <w:r w:rsidR="009E0733">
        <w:rPr>
          <w:rFonts w:ascii="Courier New" w:hAnsi="Courier New" w:cs="Courier New"/>
          <w:lang w:eastAsia="es-CO"/>
        </w:rPr>
        <w:t xml:space="preserve"> presunto infractor</w:t>
      </w:r>
      <w:r w:rsidRPr="00B1764D">
        <w:rPr>
          <w:rFonts w:ascii="Courier New" w:hAnsi="Courier New" w:cs="Courier New"/>
          <w:lang w:eastAsia="es-CO"/>
        </w:rPr>
        <w:t xml:space="preserve"> 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2AD38214"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4B6716">
        <w:rPr>
          <w:rFonts w:ascii="Courier New" w:hAnsi="Courier New" w:cs="Courier New"/>
          <w:lang w:eastAsia="es-CO"/>
        </w:rPr>
        <w:t xml:space="preserve"> de expediente 2021513490106806</w:t>
      </w:r>
      <w:r w:rsidR="00965018">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3E9D8C09"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54FE4A2" w:rsidR="00B1764D" w:rsidRPr="00657DF1" w:rsidRDefault="00965018"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6"/>
      <w:footerReference w:type="default" r:id="rId17"/>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0CA4" w14:textId="77777777" w:rsidR="006E07C8" w:rsidRDefault="006E07C8" w:rsidP="00777ED3">
      <w:r>
        <w:separator/>
      </w:r>
    </w:p>
  </w:endnote>
  <w:endnote w:type="continuationSeparator" w:id="0">
    <w:p w14:paraId="48AF4E6A" w14:textId="77777777" w:rsidR="006E07C8" w:rsidRDefault="006E07C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F5B95" w:rsidRDefault="00BF5B95">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F5B95" w:rsidRDefault="00BF5B95" w:rsidP="006F3BF7">
                          <w:pPr>
                            <w:rPr>
                              <w:rFonts w:ascii="Arial" w:hAnsi="Arial" w:cs="Arial"/>
                              <w:sz w:val="16"/>
                              <w:szCs w:val="16"/>
                              <w:lang w:val="es-MX"/>
                            </w:rPr>
                          </w:pPr>
                        </w:p>
                        <w:p w14:paraId="191BFEEC" w14:textId="77777777" w:rsidR="00BF5B95" w:rsidRDefault="00BF5B95"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F5B95" w:rsidRDefault="00BF5B95"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F5B95" w:rsidRDefault="00BF5B95"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F5B95" w:rsidRDefault="00BF5B95"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F5B95" w:rsidRPr="004D40FF" w:rsidRDefault="00BF5B95"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F5B95" w:rsidRDefault="00BF5B95"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F5B95" w:rsidRPr="00C25786" w:rsidRDefault="00BF5B95"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F5B95" w:rsidRPr="00220545" w:rsidRDefault="00BF5B95"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F5B95" w:rsidRPr="003A7387" w:rsidRDefault="00BF5B95"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F5B95" w:rsidRPr="003A7387" w:rsidRDefault="00BF5B95"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F5B95" w:rsidRDefault="00BF5B95">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8103B" w14:textId="77777777" w:rsidR="006E07C8" w:rsidRDefault="006E07C8" w:rsidP="00777ED3">
      <w:r>
        <w:separator/>
      </w:r>
    </w:p>
  </w:footnote>
  <w:footnote w:type="continuationSeparator" w:id="0">
    <w:p w14:paraId="4F2F2E1D" w14:textId="77777777" w:rsidR="006E07C8" w:rsidRDefault="006E07C8"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F5B95" w:rsidRDefault="00BF5B95">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F5B95" w:rsidRDefault="00BF5B95">
    <w:pPr>
      <w:pStyle w:val="Encabezamiento"/>
      <w:rPr>
        <w:lang w:eastAsia="es-CO"/>
      </w:rPr>
    </w:pPr>
  </w:p>
  <w:p w14:paraId="5B085ADE" w14:textId="77777777" w:rsidR="00BF5B95" w:rsidRDefault="00BF5B95">
    <w:pPr>
      <w:pStyle w:val="Encabezamiento"/>
      <w:rPr>
        <w:lang w:eastAsia="es-CO"/>
      </w:rPr>
    </w:pPr>
  </w:p>
  <w:p w14:paraId="6A92E251" w14:textId="77777777" w:rsidR="00BF5B95" w:rsidRDefault="00BF5B95">
    <w:pPr>
      <w:pStyle w:val="Encabezamiento"/>
      <w:rPr>
        <w:lang w:eastAsia="es-CO"/>
      </w:rPr>
    </w:pPr>
  </w:p>
  <w:p w14:paraId="20013E4E" w14:textId="77777777" w:rsidR="00BF5B95" w:rsidRDefault="00BF5B95">
    <w:pPr>
      <w:pStyle w:val="Encabezamiento"/>
      <w:rPr>
        <w:lang w:eastAsia="es-CO"/>
      </w:rPr>
    </w:pPr>
  </w:p>
  <w:p w14:paraId="6ABFF9FE" w14:textId="530DBE32" w:rsidR="00BF5B95" w:rsidRPr="00EB6AA9" w:rsidRDefault="00BF5B95"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B6716">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B6716">
      <w:rPr>
        <w:rFonts w:ascii="Arial" w:hAnsi="Arial" w:cs="Arial"/>
        <w:noProof/>
        <w:sz w:val="16"/>
        <w:szCs w:val="16"/>
        <w:lang w:val="es-CO" w:eastAsia="es-CO"/>
      </w:rPr>
      <w:t>6</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97CAF"/>
    <w:rsid w:val="000A567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413313"/>
    <w:rsid w:val="00433D0E"/>
    <w:rsid w:val="00446789"/>
    <w:rsid w:val="004968F3"/>
    <w:rsid w:val="004B6716"/>
    <w:rsid w:val="004D40FF"/>
    <w:rsid w:val="004E0C64"/>
    <w:rsid w:val="004E2A6B"/>
    <w:rsid w:val="00502133"/>
    <w:rsid w:val="0050391C"/>
    <w:rsid w:val="00567751"/>
    <w:rsid w:val="00590137"/>
    <w:rsid w:val="005D4C3C"/>
    <w:rsid w:val="005F2FAF"/>
    <w:rsid w:val="00623878"/>
    <w:rsid w:val="00637A18"/>
    <w:rsid w:val="0064007E"/>
    <w:rsid w:val="00663067"/>
    <w:rsid w:val="006E07C8"/>
    <w:rsid w:val="006F3BF7"/>
    <w:rsid w:val="00746F9E"/>
    <w:rsid w:val="00777ED3"/>
    <w:rsid w:val="007C6BD6"/>
    <w:rsid w:val="007E303C"/>
    <w:rsid w:val="00805B20"/>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B1764D"/>
    <w:rsid w:val="00B63169"/>
    <w:rsid w:val="00B8550A"/>
    <w:rsid w:val="00BA61AC"/>
    <w:rsid w:val="00BB0DB8"/>
    <w:rsid w:val="00BB5B4F"/>
    <w:rsid w:val="00BD2B65"/>
    <w:rsid w:val="00BF5B95"/>
    <w:rsid w:val="00C02431"/>
    <w:rsid w:val="00C02C3C"/>
    <w:rsid w:val="00C03963"/>
    <w:rsid w:val="00C1290D"/>
    <w:rsid w:val="00C73DF3"/>
    <w:rsid w:val="00C91C5D"/>
    <w:rsid w:val="00CA3AD4"/>
    <w:rsid w:val="00CB01AF"/>
    <w:rsid w:val="00CB4959"/>
    <w:rsid w:val="00D03DD8"/>
    <w:rsid w:val="00D05DF4"/>
    <w:rsid w:val="00DB35A1"/>
    <w:rsid w:val="00E107C4"/>
    <w:rsid w:val="00E14938"/>
    <w:rsid w:val="00E15661"/>
    <w:rsid w:val="00E64A51"/>
    <w:rsid w:val="00EB6AA9"/>
    <w:rsid w:val="00EF349E"/>
    <w:rsid w:val="00EF7B28"/>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jur.bogotajuridica.gov.co/normas/Norma1.jsp?i=3966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19066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68690" TargetMode="External"/><Relationship Id="rId5" Type="http://schemas.openxmlformats.org/officeDocument/2006/relationships/numbering" Target="numbering.xml"/><Relationship Id="rId15" Type="http://schemas.openxmlformats.org/officeDocument/2006/relationships/hyperlink" Target="http://sisjur.bogotajuridica.gov.co/normas/Norma1.jsp?i=2932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jur.bogotajuridica.gov.co/normas/Norma1.jsp?i=337"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BCA29809-2308-4E09-89AB-DFD14BA6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2422</Words>
  <Characters>13321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2026-04-21T20:33:00Z</cp:lastPrinted>
  <dcterms:created xsi:type="dcterms:W3CDTF">2026-04-21T20:33:00Z</dcterms:created>
  <dcterms:modified xsi:type="dcterms:W3CDTF">2026-04-21T20:33:00Z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